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4" w:rsidRPr="00401C7A" w:rsidRDefault="001E13D4" w:rsidP="00D71684">
      <w:bookmarkStart w:id="0" w:name="_GoBack"/>
      <w:bookmarkEnd w:id="0"/>
    </w:p>
    <w:p w:rsidR="001E13D4" w:rsidRPr="00401C7A" w:rsidRDefault="001E13D4" w:rsidP="00D71684"/>
    <w:p w:rsidR="00401C7A" w:rsidRDefault="00401C7A" w:rsidP="00D71684">
      <w:pPr>
        <w:rPr>
          <w:i/>
        </w:rPr>
      </w:pPr>
      <w:r>
        <w:rPr>
          <w:i/>
        </w:rPr>
        <w:t xml:space="preserve">Przedmiot: </w:t>
      </w:r>
      <w:r w:rsidRPr="00401C7A">
        <w:t>Antropologia miasta</w:t>
      </w:r>
    </w:p>
    <w:p w:rsidR="00D71684" w:rsidRPr="00401C7A" w:rsidRDefault="00401C7A" w:rsidP="00D71684">
      <w:r w:rsidRPr="00401C7A">
        <w:rPr>
          <w:i/>
        </w:rPr>
        <w:t>Prowadzący</w:t>
      </w:r>
      <w:r w:rsidR="00D71684" w:rsidRPr="00401C7A">
        <w:rPr>
          <w:i/>
        </w:rPr>
        <w:t>:</w:t>
      </w:r>
      <w:r w:rsidR="00D71684" w:rsidRPr="00401C7A">
        <w:t xml:space="preserve"> dr Monika Milewska</w:t>
      </w:r>
    </w:p>
    <w:p w:rsid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01C7A">
        <w:rPr>
          <w:rFonts w:ascii="Times New Roman" w:hAnsi="Times New Roman"/>
          <w:i/>
          <w:sz w:val="24"/>
          <w:szCs w:val="24"/>
        </w:rPr>
        <w:t>Liczba godzin:</w:t>
      </w:r>
      <w:r w:rsidRPr="00401C7A">
        <w:rPr>
          <w:rFonts w:ascii="Times New Roman" w:hAnsi="Times New Roman"/>
          <w:sz w:val="24"/>
          <w:szCs w:val="24"/>
        </w:rPr>
        <w:t xml:space="preserve"> 30</w:t>
      </w:r>
    </w:p>
    <w:p w:rsidR="00401C7A" w:rsidRPr="00401C7A" w:rsidRDefault="00401C7A" w:rsidP="00401C7A">
      <w:r>
        <w:rPr>
          <w:i/>
        </w:rPr>
        <w:t xml:space="preserve">Forma zajęć: </w:t>
      </w:r>
      <w:r w:rsidRPr="00401C7A">
        <w:t>wykład</w:t>
      </w:r>
    </w:p>
    <w:p w:rsidR="00D71684" w:rsidRP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01C7A">
        <w:rPr>
          <w:rFonts w:ascii="Times New Roman" w:hAnsi="Times New Roman"/>
          <w:i/>
          <w:sz w:val="24"/>
          <w:szCs w:val="24"/>
        </w:rPr>
        <w:t>Semestr:</w:t>
      </w:r>
      <w:r w:rsidRPr="00401C7A">
        <w:rPr>
          <w:rFonts w:ascii="Times New Roman" w:hAnsi="Times New Roman"/>
          <w:sz w:val="24"/>
          <w:szCs w:val="24"/>
        </w:rPr>
        <w:t xml:space="preserve"> letni</w:t>
      </w:r>
    </w:p>
    <w:p w:rsidR="00401C7A" w:rsidRPr="00401C7A" w:rsidRDefault="00401C7A" w:rsidP="00401C7A">
      <w:pPr>
        <w:rPr>
          <w:i/>
        </w:rPr>
      </w:pPr>
      <w:r w:rsidRPr="00401C7A">
        <w:rPr>
          <w:i/>
        </w:rPr>
        <w:t>Cele przedmiotu:</w:t>
      </w:r>
    </w:p>
    <w:p w:rsidR="00401C7A" w:rsidRPr="00401C7A" w:rsidRDefault="00401C7A" w:rsidP="00401C7A">
      <w:r w:rsidRPr="00401C7A">
        <w:t>Zapoznanie studentów z zagadnieniami podejmowanymi przez antropologię miasta w obliczu globalnych procesów urbanizacji.</w:t>
      </w:r>
    </w:p>
    <w:p w:rsidR="00D71684" w:rsidRP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01C7A">
        <w:rPr>
          <w:rFonts w:ascii="Times New Roman" w:hAnsi="Times New Roman"/>
          <w:i/>
          <w:sz w:val="24"/>
          <w:szCs w:val="24"/>
        </w:rPr>
        <w:t>Sposób zaliczenia:</w:t>
      </w:r>
    </w:p>
    <w:p w:rsidR="00D71684" w:rsidRP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01C7A">
        <w:rPr>
          <w:rFonts w:ascii="Times New Roman" w:hAnsi="Times New Roman"/>
          <w:sz w:val="24"/>
          <w:szCs w:val="24"/>
        </w:rPr>
        <w:t>Egzamin</w:t>
      </w:r>
    </w:p>
    <w:p w:rsidR="00D71684" w:rsidRP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01C7A">
        <w:rPr>
          <w:rFonts w:ascii="Times New Roman" w:hAnsi="Times New Roman"/>
          <w:i/>
          <w:sz w:val="24"/>
          <w:szCs w:val="24"/>
        </w:rPr>
        <w:t>Formy zaliczenia:</w:t>
      </w:r>
    </w:p>
    <w:p w:rsidR="00D71684" w:rsidRPr="00401C7A" w:rsidRDefault="001E13D4" w:rsidP="00D7168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01C7A">
        <w:rPr>
          <w:rFonts w:ascii="Times New Roman" w:hAnsi="Times New Roman"/>
          <w:sz w:val="24"/>
          <w:szCs w:val="24"/>
        </w:rPr>
        <w:t>Test z pytaniami otwartymi;</w:t>
      </w:r>
    </w:p>
    <w:p w:rsidR="001E13D4" w:rsidRPr="00401C7A" w:rsidRDefault="001E13D4" w:rsidP="00D71684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01C7A">
        <w:rPr>
          <w:rFonts w:ascii="Times New Roman" w:hAnsi="Times New Roman"/>
          <w:sz w:val="24"/>
          <w:szCs w:val="24"/>
        </w:rPr>
        <w:t>Prezentacja ustna.</w:t>
      </w:r>
    </w:p>
    <w:p w:rsidR="00D71684" w:rsidRPr="00401C7A" w:rsidRDefault="00D71684" w:rsidP="00D71684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401C7A">
        <w:rPr>
          <w:rFonts w:ascii="Times New Roman" w:hAnsi="Times New Roman"/>
          <w:i/>
          <w:sz w:val="24"/>
          <w:szCs w:val="24"/>
        </w:rPr>
        <w:t>Podstawowe kryteria oceny:</w:t>
      </w:r>
    </w:p>
    <w:p w:rsidR="00D71684" w:rsidRPr="00401C7A" w:rsidRDefault="00D71684" w:rsidP="00D71684">
      <w:r w:rsidRPr="00401C7A">
        <w:t>Test ze znajomości problematyki wykładu oraz literatury przedmiotu; – 100 % oceny.</w:t>
      </w:r>
    </w:p>
    <w:p w:rsidR="00D71684" w:rsidRDefault="00D71684" w:rsidP="00D71684">
      <w:pPr>
        <w:pStyle w:val="Tytu"/>
        <w:spacing w:line="240" w:lineRule="auto"/>
        <w:ind w:left="360" w:firstLine="348"/>
        <w:jc w:val="left"/>
        <w:rPr>
          <w:rFonts w:ascii="Times New Roman" w:hAnsi="Times New Roman"/>
          <w:sz w:val="20"/>
        </w:rPr>
      </w:pPr>
      <w:r w:rsidRPr="00401C7A">
        <w:rPr>
          <w:rFonts w:ascii="Times New Roman" w:hAnsi="Times New Roman"/>
          <w:sz w:val="20"/>
        </w:rPr>
        <w:t>Punktacja zadań wg „Formy i kryteria oceniania efektów kształcenia na kierunku etnologia UG”.</w:t>
      </w:r>
    </w:p>
    <w:p w:rsidR="00895B18" w:rsidRDefault="00895B18" w:rsidP="00895B18">
      <w:pPr>
        <w:jc w:val="both"/>
        <w:rPr>
          <w:i/>
        </w:rPr>
      </w:pPr>
      <w:r w:rsidRPr="00895B18">
        <w:rPr>
          <w:i/>
        </w:rPr>
        <w:t>Sposób weryfikacji efektów kształcenia</w:t>
      </w:r>
    </w:p>
    <w:p w:rsidR="00895B18" w:rsidRPr="00895B18" w:rsidRDefault="00895B18" w:rsidP="00895B18">
      <w:pPr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762"/>
        <w:gridCol w:w="1739"/>
      </w:tblGrid>
      <w:tr w:rsidR="00895B18" w:rsidRPr="002642C2" w:rsidTr="00CC6A72">
        <w:tc>
          <w:tcPr>
            <w:tcW w:w="1801" w:type="dxa"/>
            <w:vAlign w:val="center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zakładany efekt uczenia się</w:t>
            </w:r>
          </w:p>
          <w:p w:rsidR="00895B18" w:rsidRPr="002642C2" w:rsidRDefault="00895B18" w:rsidP="00CC6A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Egzamin</w:t>
            </w:r>
            <w:r>
              <w:rPr>
                <w:color w:val="000000"/>
                <w:sz w:val="16"/>
                <w:szCs w:val="16"/>
              </w:rPr>
              <w:t xml:space="preserve"> pisemny</w:t>
            </w:r>
          </w:p>
        </w:tc>
        <w:tc>
          <w:tcPr>
            <w:tcW w:w="1739" w:type="dxa"/>
            <w:vAlign w:val="center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Ustna prezentacja</w:t>
            </w:r>
          </w:p>
        </w:tc>
      </w:tr>
      <w:tr w:rsidR="00895B18" w:rsidRPr="002642C2" w:rsidTr="00CC6A72">
        <w:tc>
          <w:tcPr>
            <w:tcW w:w="5302" w:type="dxa"/>
            <w:gridSpan w:val="3"/>
            <w:vAlign w:val="center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895B18" w:rsidRPr="002642C2" w:rsidTr="00CC6A72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K_W06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K_W1</w:t>
            </w:r>
            <w:r w:rsidRPr="002642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2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5302" w:type="dxa"/>
            <w:gridSpan w:val="3"/>
          </w:tcPr>
          <w:p w:rsidR="00895B18" w:rsidRPr="002642C2" w:rsidRDefault="00895B18" w:rsidP="00895B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</w:t>
            </w:r>
            <w:r w:rsidRPr="002642C2"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</w:t>
            </w:r>
            <w:r>
              <w:rPr>
                <w:color w:val="000000"/>
                <w:sz w:val="16"/>
                <w:szCs w:val="16"/>
              </w:rPr>
              <w:t>U08</w:t>
            </w:r>
          </w:p>
        </w:tc>
        <w:tc>
          <w:tcPr>
            <w:tcW w:w="1762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895B18" w:rsidP="00895B18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895B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K_U09</w:t>
            </w:r>
          </w:p>
        </w:tc>
        <w:tc>
          <w:tcPr>
            <w:tcW w:w="1762" w:type="dxa"/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CC6A72" w:rsidP="00895B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5302" w:type="dxa"/>
            <w:gridSpan w:val="3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K_K02</w:t>
            </w:r>
          </w:p>
        </w:tc>
        <w:tc>
          <w:tcPr>
            <w:tcW w:w="1762" w:type="dxa"/>
          </w:tcPr>
          <w:p w:rsidR="00895B18" w:rsidRPr="002642C2" w:rsidRDefault="00895B18" w:rsidP="00CC6A72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895B18" w:rsidRPr="002642C2" w:rsidTr="00CC6A72">
        <w:tc>
          <w:tcPr>
            <w:tcW w:w="1801" w:type="dxa"/>
          </w:tcPr>
          <w:p w:rsidR="00895B18" w:rsidRPr="002642C2" w:rsidRDefault="00895B18" w:rsidP="00895B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K_K10</w:t>
            </w:r>
          </w:p>
        </w:tc>
        <w:tc>
          <w:tcPr>
            <w:tcW w:w="1762" w:type="dxa"/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895B18" w:rsidRPr="002642C2" w:rsidRDefault="00CC6A72" w:rsidP="00CC6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</w:tbl>
    <w:p w:rsidR="00895B18" w:rsidRPr="00401C7A" w:rsidRDefault="00895B18" w:rsidP="00D71684">
      <w:pPr>
        <w:pStyle w:val="Tytu"/>
        <w:spacing w:line="240" w:lineRule="auto"/>
        <w:ind w:left="360" w:firstLine="348"/>
        <w:jc w:val="left"/>
        <w:rPr>
          <w:rFonts w:ascii="Times New Roman" w:hAnsi="Times New Roman"/>
          <w:sz w:val="20"/>
        </w:rPr>
      </w:pPr>
    </w:p>
    <w:p w:rsidR="00D71684" w:rsidRPr="00401C7A" w:rsidRDefault="00D71684" w:rsidP="00D71684">
      <w:pPr>
        <w:rPr>
          <w:i/>
        </w:rPr>
      </w:pPr>
      <w:r w:rsidRPr="00401C7A">
        <w:rPr>
          <w:i/>
        </w:rPr>
        <w:t>Treści programowe</w:t>
      </w:r>
      <w:r w:rsidR="00401C7A" w:rsidRPr="00401C7A">
        <w:rPr>
          <w:i/>
        </w:rPr>
        <w:t>:</w:t>
      </w:r>
    </w:p>
    <w:p w:rsidR="00D71684" w:rsidRPr="00401C7A" w:rsidRDefault="00D71684" w:rsidP="00D71684">
      <w:r w:rsidRPr="00401C7A">
        <w:t>Podstawowe pojęcia oraz zarys historii miasta; semiotyka miasta; miasta - symbole (Jerozolima, Trzeci Rzym itp.); utopie miejskie i miasta idealne (np. „Miasto Słońca”, Nowa Huta); rewolucja przestrzenna we Fra</w:t>
      </w:r>
      <w:r w:rsidR="001E13D4" w:rsidRPr="00401C7A">
        <w:t>ncji; Petersburg i Moskwa</w:t>
      </w:r>
      <w:r w:rsidRPr="00401C7A">
        <w:t xml:space="preserve">; </w:t>
      </w:r>
      <w:r w:rsidR="001E13D4" w:rsidRPr="00401C7A">
        <w:t xml:space="preserve">architektura totalitarna; </w:t>
      </w:r>
      <w:r w:rsidRPr="00401C7A">
        <w:t>dwudziestowieczne koncepcje miasta: miasto-ogród, modernizm w a</w:t>
      </w:r>
      <w:r w:rsidRPr="00401C7A">
        <w:t>r</w:t>
      </w:r>
      <w:r w:rsidRPr="00401C7A">
        <w:t xml:space="preserve">chitekturze i urbanistyce, projekty Gropiusa, Le Corbusiera, Niemeyera, architektura postmodernistyczna (Antygona); </w:t>
      </w:r>
      <w:r w:rsidR="001E13D4" w:rsidRPr="00401C7A">
        <w:t xml:space="preserve">filmowa </w:t>
      </w:r>
      <w:r w:rsidRPr="00401C7A">
        <w:t xml:space="preserve">wizja </w:t>
      </w:r>
      <w:r w:rsidR="001E13D4" w:rsidRPr="00401C7A">
        <w:t xml:space="preserve">miasta przyszłości - </w:t>
      </w:r>
      <w:r w:rsidRPr="00401C7A">
        <w:rPr>
          <w:i/>
        </w:rPr>
        <w:t>M</w:t>
      </w:r>
      <w:r w:rsidRPr="00401C7A">
        <w:rPr>
          <w:i/>
        </w:rPr>
        <w:t>e</w:t>
      </w:r>
      <w:r w:rsidRPr="00401C7A">
        <w:rPr>
          <w:i/>
        </w:rPr>
        <w:t xml:space="preserve">tropolis </w:t>
      </w:r>
      <w:r w:rsidRPr="00401C7A">
        <w:t>Fritza Langa; polskie blokowiska.</w:t>
      </w:r>
    </w:p>
    <w:p w:rsidR="00926D12" w:rsidRPr="00401C7A" w:rsidRDefault="001E13D4">
      <w:pPr>
        <w:rPr>
          <w:i/>
        </w:rPr>
      </w:pPr>
      <w:r w:rsidRPr="00401C7A">
        <w:rPr>
          <w:i/>
        </w:rPr>
        <w:t>Literatura</w:t>
      </w:r>
      <w:r w:rsidR="00401C7A" w:rsidRPr="00401C7A">
        <w:rPr>
          <w:i/>
        </w:rPr>
        <w:t>:</w:t>
      </w:r>
    </w:p>
    <w:p w:rsidR="001E13D4" w:rsidRPr="00401C7A" w:rsidRDefault="001E13D4" w:rsidP="001E13D4">
      <w:r w:rsidRPr="00401C7A">
        <w:t xml:space="preserve">Władimir </w:t>
      </w:r>
      <w:proofErr w:type="spellStart"/>
      <w:r w:rsidRPr="00401C7A">
        <w:t>Toporow</w:t>
      </w:r>
      <w:proofErr w:type="spellEnd"/>
      <w:r w:rsidRPr="00401C7A">
        <w:t xml:space="preserve">, </w:t>
      </w:r>
      <w:r w:rsidRPr="00401C7A">
        <w:rPr>
          <w:i/>
        </w:rPr>
        <w:t>Miasto i mit</w:t>
      </w:r>
      <w:r w:rsidRPr="00401C7A">
        <w:t>, Gdańsk 2000;</w:t>
      </w:r>
    </w:p>
    <w:p w:rsidR="001E13D4" w:rsidRPr="00401C7A" w:rsidRDefault="001E13D4" w:rsidP="001E13D4">
      <w:r w:rsidRPr="00401C7A">
        <w:t xml:space="preserve">B. Gutowski, </w:t>
      </w:r>
      <w:r w:rsidRPr="00401C7A">
        <w:rPr>
          <w:i/>
        </w:rPr>
        <w:t>Przestrzeń marzycieli. Miasto jako projekt utopijny</w:t>
      </w:r>
      <w:r w:rsidRPr="00401C7A">
        <w:t>, Warszawa 2006 (pozycja dostępna on-line), ss.18-157;</w:t>
      </w:r>
    </w:p>
    <w:p w:rsidR="001E13D4" w:rsidRPr="00401C7A" w:rsidRDefault="001E13D4" w:rsidP="001E13D4">
      <w:r w:rsidRPr="00401C7A">
        <w:t xml:space="preserve">J. Baszkiewicz, </w:t>
      </w:r>
      <w:r w:rsidRPr="00401C7A">
        <w:rPr>
          <w:i/>
        </w:rPr>
        <w:t>Nowy człowiek, nowy naród, nowy świat</w:t>
      </w:r>
      <w:r w:rsidRPr="00401C7A">
        <w:t xml:space="preserve">. </w:t>
      </w:r>
      <w:r w:rsidRPr="00401C7A">
        <w:rPr>
          <w:i/>
        </w:rPr>
        <w:t>Mitologia i rzeczywistość rewolucji francuskiej</w:t>
      </w:r>
      <w:r w:rsidRPr="00401C7A">
        <w:t>, Warszawa 1993, ss. 128-147;</w:t>
      </w:r>
    </w:p>
    <w:p w:rsidR="001E13D4" w:rsidRPr="00401C7A" w:rsidRDefault="001E13D4" w:rsidP="001E13D4">
      <w:r w:rsidRPr="00401C7A">
        <w:t xml:space="preserve">R. Kapuściński, </w:t>
      </w:r>
      <w:r w:rsidRPr="00401C7A">
        <w:rPr>
          <w:i/>
        </w:rPr>
        <w:t>Imperium</w:t>
      </w:r>
      <w:r w:rsidRPr="00401C7A">
        <w:t>, Warszawa 2002, ss. 87-112;</w:t>
      </w:r>
    </w:p>
    <w:p w:rsidR="001E13D4" w:rsidRPr="00401C7A" w:rsidRDefault="001E13D4" w:rsidP="001E13D4">
      <w:pPr>
        <w:pStyle w:val="Tekstprzypisudolnego"/>
        <w:rPr>
          <w:sz w:val="24"/>
          <w:szCs w:val="24"/>
        </w:rPr>
      </w:pPr>
      <w:r w:rsidRPr="00401C7A">
        <w:rPr>
          <w:sz w:val="24"/>
          <w:szCs w:val="24"/>
        </w:rPr>
        <w:t xml:space="preserve">J. Sadowski, </w:t>
      </w:r>
      <w:r w:rsidRPr="00401C7A">
        <w:rPr>
          <w:i/>
          <w:sz w:val="24"/>
          <w:szCs w:val="24"/>
        </w:rPr>
        <w:t>Między Pałacem Rad i Pałacem Kultury. Studium kultury totalitarnej</w:t>
      </w:r>
      <w:r w:rsidRPr="00401C7A">
        <w:rPr>
          <w:sz w:val="24"/>
          <w:szCs w:val="24"/>
        </w:rPr>
        <w:t xml:space="preserve">, Kraków 2009, </w:t>
      </w:r>
      <w:proofErr w:type="spellStart"/>
      <w:r w:rsidRPr="00401C7A">
        <w:rPr>
          <w:sz w:val="24"/>
          <w:szCs w:val="24"/>
        </w:rPr>
        <w:t>ss</w:t>
      </w:r>
      <w:proofErr w:type="spellEnd"/>
      <w:r w:rsidRPr="00401C7A">
        <w:rPr>
          <w:sz w:val="24"/>
          <w:szCs w:val="24"/>
        </w:rPr>
        <w:t xml:space="preserve"> 105-121, 188-204;</w:t>
      </w:r>
    </w:p>
    <w:p w:rsidR="001E13D4" w:rsidRPr="00401C7A" w:rsidRDefault="001E13D4" w:rsidP="001E13D4">
      <w:pPr>
        <w:widowControl w:val="0"/>
        <w:rPr>
          <w:iCs/>
        </w:rPr>
      </w:pPr>
      <w:r w:rsidRPr="00401C7A">
        <w:rPr>
          <w:iCs/>
        </w:rPr>
        <w:t xml:space="preserve">Władysław Fiałkowski, </w:t>
      </w:r>
      <w:r w:rsidRPr="00401C7A">
        <w:rPr>
          <w:i/>
          <w:iCs/>
        </w:rPr>
        <w:t>Siedmiu architektów XX wieku</w:t>
      </w:r>
      <w:r w:rsidRPr="00401C7A">
        <w:rPr>
          <w:iCs/>
        </w:rPr>
        <w:t>, Warszawa 1981;</w:t>
      </w:r>
    </w:p>
    <w:p w:rsidR="001E13D4" w:rsidRPr="00401C7A" w:rsidRDefault="001E13D4" w:rsidP="001E13D4">
      <w:pPr>
        <w:widowControl w:val="0"/>
        <w:rPr>
          <w:iCs/>
        </w:rPr>
      </w:pPr>
      <w:r w:rsidRPr="00401C7A">
        <w:rPr>
          <w:iCs/>
        </w:rPr>
        <w:t xml:space="preserve">Boris Uspienski, </w:t>
      </w:r>
      <w:r w:rsidRPr="00401C7A">
        <w:rPr>
          <w:i/>
          <w:iCs/>
        </w:rPr>
        <w:t>Percepcja historii w Dawnej Rusi i doktryna „Moskwa – Trzeci Rzym”</w:t>
      </w:r>
      <w:r w:rsidRPr="00401C7A">
        <w:rPr>
          <w:iCs/>
        </w:rPr>
        <w:t xml:space="preserve">, ss.33-53, [w:] tegoż, </w:t>
      </w:r>
      <w:r w:rsidRPr="00401C7A">
        <w:rPr>
          <w:i/>
          <w:iCs/>
        </w:rPr>
        <w:t>Religia i semiot</w:t>
      </w:r>
      <w:r w:rsidRPr="00401C7A">
        <w:rPr>
          <w:i/>
          <w:iCs/>
        </w:rPr>
        <w:t>y</w:t>
      </w:r>
      <w:r w:rsidRPr="00401C7A">
        <w:rPr>
          <w:i/>
          <w:iCs/>
        </w:rPr>
        <w:t>ka</w:t>
      </w:r>
      <w:r w:rsidRPr="00401C7A">
        <w:rPr>
          <w:iCs/>
        </w:rPr>
        <w:t>, Gdańsk 2001;</w:t>
      </w:r>
    </w:p>
    <w:p w:rsidR="001E13D4" w:rsidRPr="00401C7A" w:rsidRDefault="001E13D4" w:rsidP="001E13D4">
      <w:r w:rsidRPr="00401C7A">
        <w:t xml:space="preserve">B. Wróblewski, </w:t>
      </w:r>
      <w:r w:rsidRPr="00401C7A">
        <w:rPr>
          <w:i/>
        </w:rPr>
        <w:t xml:space="preserve">Miasta przyszłości, </w:t>
      </w:r>
      <w:r w:rsidRPr="00401C7A">
        <w:t>„Mówią Wieki”, nr 12, 1988, ss.22-26.</w:t>
      </w:r>
    </w:p>
    <w:p w:rsidR="001E13D4" w:rsidRPr="00401C7A" w:rsidRDefault="001E13D4" w:rsidP="001E13D4">
      <w:pPr>
        <w:pStyle w:val="Tekstprzypisudolnego"/>
        <w:rPr>
          <w:sz w:val="24"/>
          <w:szCs w:val="24"/>
        </w:rPr>
      </w:pPr>
      <w:r w:rsidRPr="00401C7A">
        <w:rPr>
          <w:sz w:val="24"/>
          <w:szCs w:val="24"/>
        </w:rPr>
        <w:lastRenderedPageBreak/>
        <w:t xml:space="preserve">P. Pomykalski, B. Skrzypek, </w:t>
      </w:r>
      <w:r w:rsidRPr="00401C7A">
        <w:rPr>
          <w:i/>
          <w:sz w:val="24"/>
          <w:szCs w:val="24"/>
        </w:rPr>
        <w:t>Nowa Huta</w:t>
      </w:r>
      <w:r w:rsidRPr="00401C7A">
        <w:rPr>
          <w:sz w:val="24"/>
          <w:szCs w:val="24"/>
        </w:rPr>
        <w:t>, „Renowacje i Zabytki, nr 2, 2010, ss. 17-35.</w:t>
      </w:r>
    </w:p>
    <w:p w:rsidR="001E13D4" w:rsidRPr="00401C7A" w:rsidRDefault="001E13D4" w:rsidP="001E13D4">
      <w:r w:rsidRPr="00401C7A">
        <w:t xml:space="preserve">M. Golonka-Czajkowska, </w:t>
      </w:r>
      <w:r w:rsidRPr="00401C7A">
        <w:rPr>
          <w:i/>
        </w:rPr>
        <w:t>A w Nowej Hucie pieśń Cygan śpiewał</w:t>
      </w:r>
      <w:r w:rsidRPr="00401C7A">
        <w:t xml:space="preserve">… [w:] </w:t>
      </w:r>
      <w:r w:rsidRPr="00401C7A">
        <w:rPr>
          <w:i/>
        </w:rPr>
        <w:t>Komunistyczni bohaterowie</w:t>
      </w:r>
      <w:r w:rsidRPr="00401C7A">
        <w:t xml:space="preserve">, red. M. Bogusławska, Z. </w:t>
      </w:r>
      <w:proofErr w:type="spellStart"/>
      <w:r w:rsidRPr="00401C7A">
        <w:t>Grębecka</w:t>
      </w:r>
      <w:proofErr w:type="spellEnd"/>
      <w:r w:rsidRPr="00401C7A">
        <w:t>, t.2, Warszawa-Kraków 2012;</w:t>
      </w:r>
    </w:p>
    <w:p w:rsidR="001E13D4" w:rsidRPr="00401C7A" w:rsidRDefault="001E13D4" w:rsidP="001E13D4">
      <w:r w:rsidRPr="00401C7A">
        <w:t xml:space="preserve">A. de </w:t>
      </w:r>
      <w:proofErr w:type="spellStart"/>
      <w:r w:rsidRPr="00401C7A">
        <w:t>Custine</w:t>
      </w:r>
      <w:proofErr w:type="spellEnd"/>
      <w:r w:rsidRPr="00401C7A">
        <w:t xml:space="preserve">, </w:t>
      </w:r>
      <w:r w:rsidRPr="00401C7A">
        <w:rPr>
          <w:i/>
        </w:rPr>
        <w:t>Listy z Rosji</w:t>
      </w:r>
      <w:r w:rsidRPr="00401C7A">
        <w:t>, Warszawa 1991;</w:t>
      </w:r>
    </w:p>
    <w:p w:rsidR="001E13D4" w:rsidRPr="00401C7A" w:rsidRDefault="001E13D4" w:rsidP="001E13D4">
      <w:r w:rsidRPr="00401C7A">
        <w:t xml:space="preserve">E. Pogonowska, </w:t>
      </w:r>
      <w:r w:rsidRPr="00401C7A">
        <w:rPr>
          <w:i/>
        </w:rPr>
        <w:t>Czytanie nowej Rosji. Polskie spotkania ze Związkiem Sowieckim lat trzydziestych XX w.</w:t>
      </w:r>
      <w:r w:rsidRPr="00401C7A">
        <w:t>, Lublin 2012.</w:t>
      </w:r>
    </w:p>
    <w:p w:rsidR="001E13D4" w:rsidRPr="00401C7A" w:rsidRDefault="001E13D4"/>
    <w:sectPr w:rsidR="001E13D4" w:rsidRPr="004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4"/>
    <w:rsid w:val="00013A13"/>
    <w:rsid w:val="00090866"/>
    <w:rsid w:val="000A489A"/>
    <w:rsid w:val="00106311"/>
    <w:rsid w:val="00145266"/>
    <w:rsid w:val="001C26DD"/>
    <w:rsid w:val="001E13D4"/>
    <w:rsid w:val="00252F6B"/>
    <w:rsid w:val="00321C56"/>
    <w:rsid w:val="00401C7A"/>
    <w:rsid w:val="00425D6C"/>
    <w:rsid w:val="0049150E"/>
    <w:rsid w:val="004C1176"/>
    <w:rsid w:val="00575C8D"/>
    <w:rsid w:val="005A1484"/>
    <w:rsid w:val="005E0B51"/>
    <w:rsid w:val="00603E95"/>
    <w:rsid w:val="00607A2B"/>
    <w:rsid w:val="006B0B8C"/>
    <w:rsid w:val="007B7A08"/>
    <w:rsid w:val="007C6BB8"/>
    <w:rsid w:val="007E7494"/>
    <w:rsid w:val="00895B18"/>
    <w:rsid w:val="00926D12"/>
    <w:rsid w:val="009506E5"/>
    <w:rsid w:val="009A28D9"/>
    <w:rsid w:val="009C0B41"/>
    <w:rsid w:val="00A66C73"/>
    <w:rsid w:val="00A70969"/>
    <w:rsid w:val="00B620F8"/>
    <w:rsid w:val="00B93642"/>
    <w:rsid w:val="00C259EE"/>
    <w:rsid w:val="00CC6A72"/>
    <w:rsid w:val="00D164F5"/>
    <w:rsid w:val="00D71684"/>
    <w:rsid w:val="00E17A30"/>
    <w:rsid w:val="00EA0A87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1684"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D71684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1684"/>
    <w:rPr>
      <w:rFonts w:ascii="Arial" w:hAnsi="Arial"/>
      <w:sz w:val="28"/>
      <w:lang w:val="pl-PL" w:eastAsia="pl-PL" w:bidi="ar-SA"/>
    </w:rPr>
  </w:style>
  <w:style w:type="paragraph" w:styleId="Tekstprzypisudolnego">
    <w:name w:val="footnote text"/>
    <w:basedOn w:val="Normalny"/>
    <w:semiHidden/>
    <w:rsid w:val="001E13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1684"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D71684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1684"/>
    <w:rPr>
      <w:rFonts w:ascii="Arial" w:hAnsi="Arial"/>
      <w:sz w:val="28"/>
      <w:lang w:val="pl-PL" w:eastAsia="pl-PL" w:bidi="ar-SA"/>
    </w:rPr>
  </w:style>
  <w:style w:type="paragraph" w:styleId="Tekstprzypisudolnego">
    <w:name w:val="footnote text"/>
    <w:basedOn w:val="Normalny"/>
    <w:semiHidden/>
    <w:rsid w:val="001E13D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Etnologia Europy – wykład</vt:lpstr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Etnologia Europy – wykład</dc:title>
  <dc:creator>Probook 4510s</dc:creator>
  <cp:lastModifiedBy>Jacek Splisgart</cp:lastModifiedBy>
  <cp:revision>2</cp:revision>
  <dcterms:created xsi:type="dcterms:W3CDTF">2019-05-20T11:21:00Z</dcterms:created>
  <dcterms:modified xsi:type="dcterms:W3CDTF">2019-05-20T11:21:00Z</dcterms:modified>
</cp:coreProperties>
</file>